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8B" w:rsidRDefault="0049028B" w:rsidP="0049028B">
      <w:pPr>
        <w:pStyle w:val="02-TtuloPrincipal-CLG"/>
      </w:pPr>
      <w:bookmarkStart w:id="0" w:name="_GoBack"/>
      <w:bookmarkEnd w:id="0"/>
      <w:r>
        <w:rPr>
          <w:caps/>
        </w:rPr>
        <w:t>Parecer</w:t>
      </w:r>
      <w:r>
        <w:t xml:space="preserve"> Nº     </w:t>
      </w:r>
      <w:proofErr w:type="gramStart"/>
      <w:r>
        <w:t xml:space="preserve">  ,</w:t>
      </w:r>
      <w:proofErr w:type="gramEnd"/>
      <w:r>
        <w:t xml:space="preserve"> DE 2016</w:t>
      </w:r>
    </w:p>
    <w:p w:rsidR="0049028B" w:rsidRDefault="0049028B" w:rsidP="0049028B">
      <w:pPr>
        <w:pStyle w:val="03-Ementa-CLG"/>
      </w:pPr>
      <w:r>
        <w:t xml:space="preserve">Da COMISSÃO DE SERVIÇOS DE INFRAESTRUTURA, sobre o Projeto de Lei do Senado (PLS) nº 388, de 2009, do Senador Valdir Raupp, que </w:t>
      </w:r>
      <w:r>
        <w:rPr>
          <w:i/>
        </w:rPr>
        <w:t>estabelece critérios socioambientais para a produção dos biocombustíveis</w:t>
      </w:r>
      <w:r>
        <w:t>.</w:t>
      </w:r>
    </w:p>
    <w:p w:rsidR="0049028B" w:rsidRDefault="0049028B" w:rsidP="0049028B">
      <w:pPr>
        <w:pStyle w:val="04-Relatoria-CLG"/>
      </w:pPr>
      <w:r>
        <w:t xml:space="preserve">Relator: Senador </w:t>
      </w:r>
      <w:r>
        <w:rPr>
          <w:b/>
          <w:caps/>
        </w:rPr>
        <w:t>Roberto Rocha</w:t>
      </w:r>
    </w:p>
    <w:p w:rsidR="0049028B" w:rsidRDefault="0049028B" w:rsidP="0049028B">
      <w:pPr>
        <w:pStyle w:val="05-Subttulo-CLG"/>
      </w:pPr>
      <w:r>
        <w:t>I – RELATÓRIO</w:t>
      </w:r>
    </w:p>
    <w:p w:rsidR="0049028B" w:rsidRDefault="0049028B" w:rsidP="0049028B">
      <w:pPr>
        <w:pStyle w:val="06-Pargrafodetexto-CLG"/>
      </w:pPr>
      <w:r>
        <w:t>Tramita nesta Comissão o Projeto de Lei do Senado (PLS) n° 388, de 2009, do Senador Valdir Raupp, que estabelece critérios ambientais para a produção de biocombustíveis.</w:t>
      </w:r>
    </w:p>
    <w:p w:rsidR="0049028B" w:rsidRDefault="0049028B" w:rsidP="0049028B">
      <w:pPr>
        <w:pStyle w:val="06-Pargrafodetexto-CLG"/>
      </w:pPr>
      <w:r>
        <w:t>O autor da matéria, preocupado em aumentar a competitividade dos biocombustíveis produzidos no Brasil, propõe que se exijam dos produtores a adoção e a prática dos seguintes critérios socioambientais na cadeia produtiva desses combustíveis:</w:t>
      </w:r>
    </w:p>
    <w:p w:rsidR="0049028B" w:rsidRDefault="0049028B" w:rsidP="0049028B">
      <w:pPr>
        <w:pStyle w:val="06-Pargrafodetexto-CLG"/>
        <w:numPr>
          <w:ilvl w:val="0"/>
          <w:numId w:val="5"/>
        </w:numPr>
      </w:pPr>
      <w:r>
        <w:t>Condicionar a modernização dos processos produtivos à preservação de empregos;</w:t>
      </w:r>
    </w:p>
    <w:p w:rsidR="0049028B" w:rsidRDefault="0049028B" w:rsidP="0049028B">
      <w:pPr>
        <w:pStyle w:val="06-Pargrafodetexto-CLG"/>
        <w:numPr>
          <w:ilvl w:val="0"/>
          <w:numId w:val="5"/>
        </w:numPr>
      </w:pPr>
      <w:r>
        <w:t>Iniciar a produção só após o recebimento da respectiva Licença de Operação;</w:t>
      </w:r>
    </w:p>
    <w:p w:rsidR="0049028B" w:rsidRDefault="0049028B" w:rsidP="0049028B">
      <w:pPr>
        <w:pStyle w:val="06-Pargrafodetexto-CLG"/>
        <w:numPr>
          <w:ilvl w:val="0"/>
          <w:numId w:val="5"/>
        </w:numPr>
      </w:pPr>
      <w:r>
        <w:t>Proibir o uso de trabalho infantil e o trabalho escravo em qualquer etapa do processo produtivo;</w:t>
      </w:r>
    </w:p>
    <w:p w:rsidR="0049028B" w:rsidRDefault="0049028B" w:rsidP="0049028B">
      <w:pPr>
        <w:pStyle w:val="06-Pargrafodetexto-CLG"/>
        <w:numPr>
          <w:ilvl w:val="0"/>
          <w:numId w:val="5"/>
        </w:numPr>
      </w:pPr>
      <w:r>
        <w:lastRenderedPageBreak/>
        <w:t>Só produzir biocombustíveis a partir de matérias-primas que impliquem a ocupação de áreas destinadas a unidades de conservação;</w:t>
      </w:r>
    </w:p>
    <w:p w:rsidR="0049028B" w:rsidRDefault="0049028B" w:rsidP="0049028B">
      <w:pPr>
        <w:pStyle w:val="06-Pargrafodetexto-CLG"/>
        <w:numPr>
          <w:ilvl w:val="0"/>
          <w:numId w:val="5"/>
        </w:numPr>
      </w:pPr>
      <w:r>
        <w:t>Usinas produtoras de biocombustível precisam estar certificadas pelo Instituto de Metrologia, Normalização e Qualidade Industrial (INMETRO), observados os princípios do desenvolvimento sustentável;</w:t>
      </w:r>
    </w:p>
    <w:p w:rsidR="0049028B" w:rsidRDefault="0049028B" w:rsidP="0049028B">
      <w:pPr>
        <w:pStyle w:val="06-Pargrafodetexto-CLG"/>
        <w:numPr>
          <w:ilvl w:val="0"/>
          <w:numId w:val="5"/>
        </w:numPr>
      </w:pPr>
      <w:r>
        <w:t>A produção das matérias-primas deverá observar as diretrizes do Zoneamento Ecológico-Econômico (ZEE) da região onde se localiza o empreendimento;</w:t>
      </w:r>
    </w:p>
    <w:p w:rsidR="0049028B" w:rsidRDefault="0049028B" w:rsidP="0049028B">
      <w:pPr>
        <w:pStyle w:val="06-Pargrafodetexto-CLG"/>
        <w:numPr>
          <w:ilvl w:val="0"/>
          <w:numId w:val="5"/>
        </w:numPr>
      </w:pPr>
      <w:r>
        <w:t>As etapas da cadeia de produção deverão obedecer a acordos, tratados e convenções e outros protocolos internacionais assinados pelo Brasil.</w:t>
      </w:r>
    </w:p>
    <w:p w:rsidR="0049028B" w:rsidRDefault="0049028B" w:rsidP="0049028B">
      <w:pPr>
        <w:pStyle w:val="06-Pargrafodetexto-CLG"/>
      </w:pPr>
      <w:r>
        <w:t>O atendimento a tais critérios, na visão do Senador Valdir Raupp, garantirá que o Brasil passe a atender as “garantias e exigências cada vez mais rígidas de sustentabilidade para a cadeia de produção dos biocombustíveis”, requisitos fundamentais para que o Brasil possa inseri-los no mercado internacional, especialmente o europeu. Dessa forma, o País poderá desenvolver o seu enorme potencial, que poderá torná-lo o principal fornecedor mundial de biocombustíveis.</w:t>
      </w:r>
    </w:p>
    <w:p w:rsidR="0049028B" w:rsidRPr="003311AC" w:rsidRDefault="0049028B" w:rsidP="0049028B">
      <w:pPr>
        <w:pStyle w:val="06-Pargrafodetexto-CLG"/>
      </w:pPr>
      <w:r>
        <w:t>Inicialmente, o PLS em análise foi encaminhado para esta Comissão e seguirá para a Comissão de Meio-ambiente, Defesa do Consumidor, Fiscalização e Controle (CMA), a quem caberá a decisão terminativa. Não foram oferecidas emendas no prazo regimental.</w:t>
      </w:r>
    </w:p>
    <w:p w:rsidR="0049028B" w:rsidRPr="005523B9" w:rsidRDefault="0049028B" w:rsidP="0049028B">
      <w:pPr>
        <w:pStyle w:val="05-Subttulo-CLG"/>
      </w:pPr>
      <w:r w:rsidRPr="005523B9">
        <w:t>II – ANÁLISE</w:t>
      </w:r>
    </w:p>
    <w:p w:rsidR="0049028B" w:rsidRDefault="0049028B" w:rsidP="0049028B">
      <w:pPr>
        <w:pStyle w:val="06-Pargrafodetexto-CLG"/>
      </w:pPr>
      <w:r>
        <w:t>Compete à Comissão de Serviços de Infraestrutura a análise de matérias pertinentes a infraestrutura, como é o caso da produção de biocombustíveis.</w:t>
      </w:r>
    </w:p>
    <w:p w:rsidR="0049028B" w:rsidRDefault="0049028B" w:rsidP="0049028B">
      <w:pPr>
        <w:pStyle w:val="06-Pargrafodetexto-CLG"/>
      </w:pPr>
      <w:r w:rsidRPr="00C77501">
        <w:t xml:space="preserve">O </w:t>
      </w:r>
      <w:r>
        <w:t>critério I supracitado</w:t>
      </w:r>
      <w:r w:rsidRPr="00C77501">
        <w:t xml:space="preserve"> levanta </w:t>
      </w:r>
      <w:r>
        <w:t>tema</w:t>
      </w:r>
      <w:r w:rsidRPr="00C77501">
        <w:t xml:space="preserve"> atinente às competências da CI, pois afeta diretamente o processo produtivo da cadeia de produção de </w:t>
      </w:r>
      <w:r w:rsidRPr="00C77501">
        <w:lastRenderedPageBreak/>
        <w:t>biocombustíveis. Portanto, o seu mérito deve ser analisado no âmbito da CI. Os temas dos incisos seguintes são atinentes às competências da CMA e não precisam ser analisadas na CI</w:t>
      </w:r>
      <w:r>
        <w:t>.</w:t>
      </w:r>
    </w:p>
    <w:p w:rsidR="0049028B" w:rsidRDefault="0049028B" w:rsidP="0049028B">
      <w:pPr>
        <w:pStyle w:val="06-Pargrafodetexto-CLG"/>
      </w:pPr>
      <w:r>
        <w:t>É inegável o mérito da proposta que ora analisamos. A clara intenção do autor do PLS é a de ampliar o leque de oportunidades de exportação de biocombustíveis, mediante o rigoroso atendimento das exigências feitas por outros países, mormente quanto ao processo e às condições de produção de combustível verde. A citada imposição de requisitos ao produtor de biocombustíveis visa a impedir que exigências internacionais venham a se tornar barreiras não tarifárias à exportação de biocombustíveis produzidos no Brasil.</w:t>
      </w:r>
    </w:p>
    <w:p w:rsidR="0049028B" w:rsidRDefault="0049028B" w:rsidP="0049028B">
      <w:pPr>
        <w:pStyle w:val="06-Pargrafodetexto-CLG"/>
      </w:pPr>
      <w:r>
        <w:t>Entretanto, vemos óbice à proposta de condicionar o direito de o produtor modernizar o seu processo produtivo à preservação de empregos extintos por força da própria modernização, objeto do inciso I do art. 1º do PLS em análise.</w:t>
      </w:r>
    </w:p>
    <w:p w:rsidR="0049028B" w:rsidRPr="0064385A" w:rsidRDefault="0049028B" w:rsidP="0049028B">
      <w:pPr>
        <w:pStyle w:val="06-Pargrafodetexto-CLG"/>
      </w:pPr>
      <w:r w:rsidRPr="0064385A">
        <w:t xml:space="preserve">O </w:t>
      </w:r>
      <w:r>
        <w:t>critério</w:t>
      </w:r>
      <w:r w:rsidRPr="0064385A">
        <w:t xml:space="preserve"> </w:t>
      </w:r>
      <w:r>
        <w:t xml:space="preserve">estabelecido pelo inciso </w:t>
      </w:r>
      <w:r w:rsidRPr="0064385A">
        <w:t xml:space="preserve">I lembra a versão moderna do </w:t>
      </w:r>
      <w:proofErr w:type="spellStart"/>
      <w:r w:rsidRPr="0064385A">
        <w:t>ludismo</w:t>
      </w:r>
      <w:proofErr w:type="spellEnd"/>
      <w:r w:rsidRPr="0064385A">
        <w:t>, conceito político que se opõe à industrialização ou a novas tecnologias que venham a substituir mão de obra humana por máquinas. Na realidade, esse movimento vai contra a essência do funcionamento da economia, que é baseado na incessante busca do aumento da produtividade. A modernização dos processos produtivos é uma das pedras angulares dessa busca. É o aumento da produtividade que permite, globalmente, por exemplo, a geração de renda, o controle da inflação, e o crescimento econômico de qualquer economia.</w:t>
      </w:r>
    </w:p>
    <w:p w:rsidR="0049028B" w:rsidRPr="0064385A" w:rsidRDefault="0049028B" w:rsidP="0049028B">
      <w:pPr>
        <w:pStyle w:val="06-Pargrafodetexto-CLG"/>
      </w:pPr>
      <w:r w:rsidRPr="0064385A">
        <w:t>Indiretamente, “a modernização das técnicas e procedimentos empregados nos processos utilizados, com o objetivo de obter melhorias nas condições laborais e na qualidade ambiental” termina por aumentar a produtividade, haja vista que aumenta a qualidade do ambiente de trabalho para os funcionários. Mas, o empregador não deve ser impedido de proceder a essa modernização em face do eventual desemprego que tal medida geraria.</w:t>
      </w:r>
    </w:p>
    <w:p w:rsidR="0049028B" w:rsidRPr="0064385A" w:rsidRDefault="0049028B" w:rsidP="0049028B">
      <w:pPr>
        <w:pStyle w:val="06-Pargrafodetexto-CLG"/>
      </w:pPr>
      <w:r w:rsidRPr="0064385A">
        <w:t>Se a modernização</w:t>
      </w:r>
      <w:r>
        <w:t xml:space="preserve"> de um segmento produtivo</w:t>
      </w:r>
      <w:r w:rsidRPr="0064385A">
        <w:t>, pontualmente, gera</w:t>
      </w:r>
      <w:r>
        <w:t>r</w:t>
      </w:r>
      <w:r w:rsidRPr="0064385A">
        <w:t xml:space="preserve"> desemprego, cabe ao Estado dar uma solução para esse problema, mas sem inibir o movimento de tornar mais eficiente o processo produtivo. Diariamente, empregos estão desaparecendo, em razão da adoção de novas </w:t>
      </w:r>
      <w:r w:rsidRPr="0064385A">
        <w:lastRenderedPageBreak/>
        <w:t>tecnologias que reduzem custos do processo produtivo, mas outros surgem também decorrentes das mesmas novas tecnologias. O problema é real, pois, não necessariamente, o trabalhador que perdeu o emprego estará apto para assumir um novo emprego que esteja sendo criado. A solução desse problema, entretanto, não deve recair sobre o empreendedor. É dever do Estado criar políticas de capacitação aos desempregados visando à adaptação da massa de trabalhadores às novas tecnologias.</w:t>
      </w:r>
    </w:p>
    <w:p w:rsidR="0049028B" w:rsidRPr="0064385A" w:rsidRDefault="0049028B" w:rsidP="0049028B">
      <w:pPr>
        <w:pStyle w:val="06-Pargrafodetexto-CLG"/>
      </w:pPr>
      <w:r w:rsidRPr="0064385A">
        <w:t>Em resumo, é nosso entendimento que, em uma economia moderna, é inconcebível frear a modernização de processos produtivos, inclusive porque isso comprometeria o aumento de produtividade das empresas, o que limitaria as possibilidades de redução dos preços ao consumidor e comprometeria a competitividade da produção nacional.</w:t>
      </w:r>
    </w:p>
    <w:p w:rsidR="0049028B" w:rsidRPr="0064385A" w:rsidRDefault="0049028B" w:rsidP="0049028B">
      <w:pPr>
        <w:pStyle w:val="06-Pargrafodetexto-CLG"/>
      </w:pPr>
      <w:r w:rsidRPr="0064385A">
        <w:t>Além disso, não há como impedir variações no volume da mão de obra empregada à medida que ocorrem flutuações econômicas. Tentar impor a manutenção do nível de emprego não é economicamente factível, pois, em muitas circunstâncias, isso simplesmente inviabilizaria a atividade produtiva.</w:t>
      </w:r>
      <w:r>
        <w:t xml:space="preserve"> A medida pode, inclusive, desestimular a busca pela inovação.</w:t>
      </w:r>
    </w:p>
    <w:p w:rsidR="0049028B" w:rsidRPr="0064385A" w:rsidRDefault="0049028B" w:rsidP="0049028B">
      <w:pPr>
        <w:pStyle w:val="06-Pargrafodetexto-CLG"/>
      </w:pPr>
      <w:r w:rsidRPr="0064385A">
        <w:t>Há que se considerar, ainda, que</w:t>
      </w:r>
      <w:r>
        <w:t>,</w:t>
      </w:r>
      <w:r w:rsidRPr="0064385A">
        <w:t xml:space="preserve"> </w:t>
      </w:r>
      <w:r>
        <w:t>se empresas inovadoras</w:t>
      </w:r>
      <w:r w:rsidRPr="0064385A">
        <w:t xml:space="preserve"> forem obrigadas a manter o nível de emprego, estariam sendo alvo de tratamento discriminatório, algo que atentaria contra a livre concorrência, um dos princípios da ordem econômica consagrados pela Constituição brasileira, em seu art. 170. Quando a manutenção do emprego em segmentos econômicos submetidos a processos de inovação tecnológica poupadores de mão de obra é considerada socialmente necessária, o instrumento legítimo é a adoção de incentivos fiscais e creditícios em favor das empresas onde tais processos estejam ocorrendo.</w:t>
      </w:r>
    </w:p>
    <w:p w:rsidR="0049028B" w:rsidRDefault="0049028B" w:rsidP="0049028B">
      <w:pPr>
        <w:pStyle w:val="06-Pargrafodetexto-CLG"/>
      </w:pPr>
      <w:r>
        <w:t>Em face do exposto, entendemos que a exigência explicitada no inciso I do art. 1º do PLS não deve fazer parte do rol dos critérios que devam ser atendidos pelo produtor de biocombustíveis, ou seja, esse dispositivo deveria ser suprimido da proposição.</w:t>
      </w:r>
    </w:p>
    <w:p w:rsidR="0049028B" w:rsidRDefault="0049028B" w:rsidP="0049028B">
      <w:pPr>
        <w:pStyle w:val="06-Pargrafodetexto-CLG"/>
      </w:pPr>
      <w:r>
        <w:t xml:space="preserve">Ressaltamos, por fim, que o restante dos critérios, explicitados nos demais incisos do citado art. 1º, não se inserem nos temas de competência da CI, mas da CMA, responsável pela apreciação da proposição em caráter </w:t>
      </w:r>
      <w:r>
        <w:lastRenderedPageBreak/>
        <w:t>terminativo. Nessa oportunidade, os aspectos envolvendo eventuais injuridicidades da proposição também poderão ser analisados.</w:t>
      </w:r>
    </w:p>
    <w:p w:rsidR="0049028B" w:rsidRDefault="0049028B" w:rsidP="0049028B">
      <w:pPr>
        <w:pStyle w:val="05-Subttulo-CLG"/>
      </w:pPr>
      <w:r>
        <w:t>III – VOTO</w:t>
      </w:r>
    </w:p>
    <w:p w:rsidR="0049028B" w:rsidRDefault="0049028B" w:rsidP="0049028B">
      <w:pPr>
        <w:pStyle w:val="06-Pargrafodetexto-CLG"/>
      </w:pPr>
      <w:r>
        <w:t>Voto pela aprovação do Projeto de Lei nº388, de 2009, com a seguinte emenda:</w:t>
      </w:r>
    </w:p>
    <w:p w:rsidR="0049028B" w:rsidRDefault="0049028B" w:rsidP="0049028B">
      <w:pPr>
        <w:pStyle w:val="09-Ttuloemenda-CLG"/>
        <w:keepNext/>
        <w:spacing w:after="0"/>
      </w:pPr>
      <w:r>
        <w:t>EMENDA Nº       - CI</w:t>
      </w:r>
    </w:p>
    <w:p w:rsidR="0049028B" w:rsidRPr="00176D07" w:rsidRDefault="0049028B" w:rsidP="0049028B">
      <w:pPr>
        <w:pStyle w:val="09-Ttuloemenda-CLG"/>
        <w:keepNext/>
        <w:spacing w:before="0"/>
        <w:rPr>
          <w:b w:val="0"/>
          <w:bCs w:val="0"/>
        </w:rPr>
      </w:pPr>
      <w:r w:rsidRPr="00176D07">
        <w:rPr>
          <w:b w:val="0"/>
          <w:bCs w:val="0"/>
        </w:rPr>
        <w:t>(</w:t>
      </w:r>
      <w:proofErr w:type="gramStart"/>
      <w:r w:rsidRPr="00176D07">
        <w:rPr>
          <w:b w:val="0"/>
          <w:bCs w:val="0"/>
        </w:rPr>
        <w:t>ao</w:t>
      </w:r>
      <w:proofErr w:type="gramEnd"/>
      <w:r w:rsidRPr="00176D07">
        <w:rPr>
          <w:b w:val="0"/>
          <w:bCs w:val="0"/>
        </w:rPr>
        <w:t xml:space="preserve"> PLS n</w:t>
      </w:r>
      <w:r>
        <w:rPr>
          <w:b w:val="0"/>
          <w:bCs w:val="0"/>
        </w:rPr>
        <w:t>º 388, de 2009</w:t>
      </w:r>
      <w:r w:rsidRPr="00176D07">
        <w:rPr>
          <w:b w:val="0"/>
          <w:bCs w:val="0"/>
        </w:rPr>
        <w:t>)</w:t>
      </w:r>
    </w:p>
    <w:p w:rsidR="0049028B" w:rsidRPr="00433B79" w:rsidRDefault="0049028B" w:rsidP="0049028B">
      <w:pPr>
        <w:pStyle w:val="06-Pargrafodetexto-CLG"/>
      </w:pPr>
      <w:r>
        <w:t>Suprima-se o inciso I do art. 1º do Projeto de Lei do Senado nº 388, de 2009, renumerando-se os demais incisos.</w:t>
      </w:r>
    </w:p>
    <w:p w:rsidR="0049028B" w:rsidRDefault="0049028B" w:rsidP="0049028B">
      <w:pPr>
        <w:pStyle w:val="10-Local-CLG"/>
      </w:pPr>
      <w:r>
        <w:t>Sala da Comissão,</w:t>
      </w:r>
    </w:p>
    <w:p w:rsidR="0049028B" w:rsidRPr="00724990" w:rsidRDefault="0049028B" w:rsidP="0049028B">
      <w:pPr>
        <w:pStyle w:val="11-Assinaturas-CLG"/>
      </w:pPr>
      <w:r>
        <w:t>, Presidente</w:t>
      </w:r>
    </w:p>
    <w:p w:rsidR="0049028B" w:rsidRDefault="0049028B" w:rsidP="0049028B">
      <w:pPr>
        <w:pStyle w:val="11-Assinaturas-CLG"/>
      </w:pPr>
      <w:r>
        <w:t>, Relator</w:t>
      </w:r>
    </w:p>
    <w:p w:rsidR="00642C81" w:rsidRPr="0049028B" w:rsidRDefault="00642C81" w:rsidP="0049028B"/>
    <w:sectPr w:rsidR="00642C81" w:rsidRPr="0049028B" w:rsidSect="00296A18">
      <w:headerReference w:type="default" r:id="rId8"/>
      <w:footerReference w:type="default" r:id="rId9"/>
      <w:pgSz w:w="11907" w:h="16840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71" w:rsidRDefault="00F83E71">
      <w:r>
        <w:separator/>
      </w:r>
    </w:p>
  </w:endnote>
  <w:endnote w:type="continuationSeparator" w:id="0">
    <w:p w:rsidR="00F83E71" w:rsidRDefault="00F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5D" w:rsidRDefault="00160E5D" w:rsidP="0022052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</w:t>
    </w:r>
  </w:p>
  <w:p w:rsidR="00160E5D" w:rsidRPr="00330AFE" w:rsidRDefault="00160E5D" w:rsidP="00220529">
    <w:pPr>
      <w:jc w:val="center"/>
      <w:rPr>
        <w:rFonts w:ascii="Arial" w:hAnsi="Arial" w:cs="Arial"/>
        <w:sz w:val="22"/>
        <w:szCs w:val="22"/>
      </w:rPr>
    </w:pPr>
    <w:r w:rsidRPr="00330AFE">
      <w:rPr>
        <w:rFonts w:ascii="Arial" w:hAnsi="Arial" w:cs="Arial"/>
        <w:sz w:val="22"/>
        <w:szCs w:val="22"/>
      </w:rPr>
      <w:t xml:space="preserve">Senado Federal </w:t>
    </w:r>
    <w:r>
      <w:rPr>
        <w:rFonts w:ascii="Arial" w:hAnsi="Arial" w:cs="Arial"/>
        <w:sz w:val="22"/>
        <w:szCs w:val="22"/>
      </w:rPr>
      <w:t>–</w:t>
    </w:r>
    <w:r w:rsidRPr="00330AFE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Anexo II 2º andar </w:t>
    </w:r>
  </w:p>
  <w:p w:rsidR="00160E5D" w:rsidRPr="00330AFE" w:rsidRDefault="00160E5D" w:rsidP="00220529">
    <w:pPr>
      <w:jc w:val="center"/>
      <w:rPr>
        <w:rFonts w:ascii="Arial" w:hAnsi="Arial" w:cs="Arial"/>
        <w:sz w:val="22"/>
        <w:szCs w:val="22"/>
      </w:rPr>
    </w:pPr>
    <w:r w:rsidRPr="00330AFE">
      <w:rPr>
        <w:rFonts w:ascii="Arial" w:hAnsi="Arial" w:cs="Arial"/>
        <w:sz w:val="22"/>
        <w:szCs w:val="22"/>
      </w:rPr>
      <w:t>CEP: 70.165-900 – Brasília – DF – Fone: 33</w:t>
    </w:r>
    <w:r>
      <w:rPr>
        <w:rFonts w:ascii="Arial" w:hAnsi="Arial" w:cs="Arial"/>
        <w:sz w:val="22"/>
        <w:szCs w:val="22"/>
      </w:rPr>
      <w:t>03 1437- / Fax – 3303 1438</w:t>
    </w:r>
  </w:p>
  <w:p w:rsidR="00160E5D" w:rsidRPr="00330AFE" w:rsidRDefault="00160E5D" w:rsidP="00220529">
    <w:pPr>
      <w:jc w:val="center"/>
      <w:rPr>
        <w:rFonts w:ascii="Arial" w:hAnsi="Arial" w:cs="Arial"/>
        <w:sz w:val="22"/>
        <w:szCs w:val="22"/>
      </w:rPr>
    </w:pPr>
    <w:proofErr w:type="gramStart"/>
    <w:r w:rsidRPr="00330AFE">
      <w:rPr>
        <w:rFonts w:ascii="Arial" w:hAnsi="Arial" w:cs="Arial"/>
        <w:sz w:val="22"/>
        <w:szCs w:val="22"/>
      </w:rPr>
      <w:t>e-mail</w:t>
    </w:r>
    <w:proofErr w:type="gramEnd"/>
    <w:r w:rsidRPr="00330AFE">
      <w:rPr>
        <w:rFonts w:ascii="Arial" w:hAnsi="Arial" w:cs="Arial"/>
        <w:sz w:val="22"/>
        <w:szCs w:val="22"/>
      </w:rPr>
      <w:t xml:space="preserve">: </w:t>
    </w:r>
    <w:r>
      <w:rPr>
        <w:rFonts w:ascii="Arial" w:hAnsi="Arial" w:cs="Arial"/>
        <w:sz w:val="22"/>
        <w:szCs w:val="22"/>
      </w:rPr>
      <w:t>roberto.rocha@senador.leg.br</w:t>
    </w:r>
  </w:p>
  <w:p w:rsidR="00160E5D" w:rsidRDefault="00160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71" w:rsidRDefault="00F83E71">
      <w:r>
        <w:separator/>
      </w:r>
    </w:p>
  </w:footnote>
  <w:footnote w:type="continuationSeparator" w:id="0">
    <w:p w:rsidR="00F83E71" w:rsidRDefault="00F8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4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245"/>
      <w:gridCol w:w="4961"/>
    </w:tblGrid>
    <w:tr w:rsidR="00160E5D" w:rsidTr="00B61B83">
      <w:trPr>
        <w:trHeight w:val="1042"/>
      </w:trPr>
      <w:tc>
        <w:tcPr>
          <w:tcW w:w="1418" w:type="dxa"/>
        </w:tcPr>
        <w:p w:rsidR="00160E5D" w:rsidRDefault="00160E5D">
          <w:pPr>
            <w:jc w:val="center"/>
            <w:rPr>
              <w:position w:val="-20"/>
              <w:sz w:val="40"/>
            </w:rPr>
          </w:pPr>
          <w:r>
            <w:rPr>
              <w:noProof/>
            </w:rPr>
            <w:drawing>
              <wp:inline distT="0" distB="0" distL="0" distR="0">
                <wp:extent cx="628650" cy="685800"/>
                <wp:effectExtent l="19050" t="0" r="0" b="0"/>
                <wp:docPr id="5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160E5D" w:rsidRPr="00B61B83" w:rsidRDefault="00160E5D" w:rsidP="00B61B83">
          <w:pPr>
            <w:pStyle w:val="Cabealho"/>
            <w:spacing w:before="100"/>
            <w:rPr>
              <w:sz w:val="22"/>
              <w:szCs w:val="22"/>
            </w:rPr>
          </w:pPr>
          <w:r w:rsidRPr="00B61B83">
            <w:rPr>
              <w:sz w:val="22"/>
              <w:szCs w:val="22"/>
            </w:rPr>
            <w:t>SENADO FEDERAL</w:t>
          </w:r>
        </w:p>
        <w:p w:rsidR="00160E5D" w:rsidRDefault="00160E5D" w:rsidP="00005BED">
          <w:pPr>
            <w:rPr>
              <w:sz w:val="22"/>
              <w:szCs w:val="22"/>
            </w:rPr>
          </w:pPr>
          <w:r w:rsidRPr="00B61B83">
            <w:rPr>
              <w:sz w:val="22"/>
              <w:szCs w:val="22"/>
            </w:rPr>
            <w:t xml:space="preserve">Gabinete do Senador </w:t>
          </w:r>
          <w:r w:rsidRPr="00B61B83">
            <w:rPr>
              <w:b/>
              <w:sz w:val="22"/>
              <w:szCs w:val="22"/>
            </w:rPr>
            <w:t>ROBERTO ROCHA</w:t>
          </w:r>
          <w:r w:rsidRPr="00B61B83">
            <w:rPr>
              <w:sz w:val="22"/>
              <w:szCs w:val="22"/>
            </w:rPr>
            <w:t xml:space="preserve"> – PSB/MA</w:t>
          </w:r>
        </w:p>
        <w:p w:rsidR="004D639C" w:rsidRDefault="004D639C" w:rsidP="00005BED">
          <w:pPr>
            <w:rPr>
              <w:sz w:val="22"/>
              <w:szCs w:val="22"/>
            </w:rPr>
          </w:pPr>
        </w:p>
        <w:p w:rsidR="004D639C" w:rsidRDefault="004D639C" w:rsidP="00005BED">
          <w:pPr>
            <w:rPr>
              <w:sz w:val="22"/>
              <w:szCs w:val="22"/>
            </w:rPr>
          </w:pPr>
        </w:p>
        <w:p w:rsidR="004D639C" w:rsidRPr="00A7501C" w:rsidRDefault="004D639C" w:rsidP="00005BED">
          <w:pPr>
            <w:rPr>
              <w:rFonts w:ascii="Arial" w:hAnsi="Arial" w:cs="Arial"/>
              <w:position w:val="-20"/>
              <w:sz w:val="20"/>
            </w:rPr>
          </w:pPr>
        </w:p>
      </w:tc>
      <w:tc>
        <w:tcPr>
          <w:tcW w:w="4961" w:type="dxa"/>
        </w:tcPr>
        <w:p w:rsidR="00160E5D" w:rsidRPr="00A7501C" w:rsidRDefault="00160E5D" w:rsidP="007B6755">
          <w:pPr>
            <w:rPr>
              <w:sz w:val="18"/>
              <w:szCs w:val="18"/>
            </w:rPr>
          </w:pPr>
          <w:r w:rsidRPr="00A7501C">
            <w:rPr>
              <w:rFonts w:ascii="Arial Black" w:hAnsi="Arial Black"/>
              <w:b/>
              <w:bCs/>
              <w:sz w:val="18"/>
              <w:szCs w:val="18"/>
            </w:rPr>
            <w:t xml:space="preserve"> </w:t>
          </w:r>
          <w:r w:rsidRPr="00A7501C">
            <w:rPr>
              <w:rFonts w:ascii="Arial" w:hAnsi="Arial" w:cs="Arial"/>
              <w:b/>
              <w:spacing w:val="10"/>
              <w:sz w:val="18"/>
              <w:szCs w:val="18"/>
            </w:rPr>
            <w:t xml:space="preserve"> </w:t>
          </w:r>
        </w:p>
      </w:tc>
    </w:tr>
  </w:tbl>
  <w:p w:rsidR="00160E5D" w:rsidRPr="00A7501C" w:rsidRDefault="00160E5D" w:rsidP="00A7501C">
    <w:pPr>
      <w:pStyle w:val="Cabealho"/>
      <w:spacing w:line="4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565B"/>
    <w:multiLevelType w:val="hybridMultilevel"/>
    <w:tmpl w:val="3DD46A24"/>
    <w:lvl w:ilvl="0" w:tplc="BC34D0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6111B01"/>
    <w:multiLevelType w:val="singleLevel"/>
    <w:tmpl w:val="7688C4B4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62D002E6"/>
    <w:multiLevelType w:val="hybridMultilevel"/>
    <w:tmpl w:val="5AB2D100"/>
    <w:lvl w:ilvl="0" w:tplc="57C823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D971127"/>
    <w:multiLevelType w:val="hybridMultilevel"/>
    <w:tmpl w:val="EA6CC648"/>
    <w:lvl w:ilvl="0" w:tplc="96D842E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70F06613"/>
    <w:multiLevelType w:val="hybridMultilevel"/>
    <w:tmpl w:val="339C3DB6"/>
    <w:lvl w:ilvl="0" w:tplc="7B4A258E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8"/>
    <w:rsid w:val="00000921"/>
    <w:rsid w:val="0000195F"/>
    <w:rsid w:val="00003285"/>
    <w:rsid w:val="0000422E"/>
    <w:rsid w:val="00005BED"/>
    <w:rsid w:val="00014AA5"/>
    <w:rsid w:val="000205F6"/>
    <w:rsid w:val="00021EEE"/>
    <w:rsid w:val="00035611"/>
    <w:rsid w:val="00037A6B"/>
    <w:rsid w:val="00037AD0"/>
    <w:rsid w:val="00041D9F"/>
    <w:rsid w:val="00051A18"/>
    <w:rsid w:val="000533AB"/>
    <w:rsid w:val="00054B70"/>
    <w:rsid w:val="0005642E"/>
    <w:rsid w:val="0006664C"/>
    <w:rsid w:val="0007589E"/>
    <w:rsid w:val="000826A7"/>
    <w:rsid w:val="00084A08"/>
    <w:rsid w:val="00085659"/>
    <w:rsid w:val="0008781B"/>
    <w:rsid w:val="00097D2C"/>
    <w:rsid w:val="000B5E66"/>
    <w:rsid w:val="000C305D"/>
    <w:rsid w:val="000D2B54"/>
    <w:rsid w:val="000E58F1"/>
    <w:rsid w:val="000F2679"/>
    <w:rsid w:val="000F29DE"/>
    <w:rsid w:val="000F54B1"/>
    <w:rsid w:val="00102BF5"/>
    <w:rsid w:val="00104F79"/>
    <w:rsid w:val="00111E78"/>
    <w:rsid w:val="0011440F"/>
    <w:rsid w:val="00117A7D"/>
    <w:rsid w:val="00122B4E"/>
    <w:rsid w:val="00125803"/>
    <w:rsid w:val="00131036"/>
    <w:rsid w:val="00131767"/>
    <w:rsid w:val="00140B29"/>
    <w:rsid w:val="00146C8D"/>
    <w:rsid w:val="00152BE5"/>
    <w:rsid w:val="001575A3"/>
    <w:rsid w:val="00160E5D"/>
    <w:rsid w:val="00163D1A"/>
    <w:rsid w:val="00164AB2"/>
    <w:rsid w:val="00172032"/>
    <w:rsid w:val="00185596"/>
    <w:rsid w:val="001908B0"/>
    <w:rsid w:val="00192E84"/>
    <w:rsid w:val="00193A4A"/>
    <w:rsid w:val="0019723D"/>
    <w:rsid w:val="001A06CC"/>
    <w:rsid w:val="001A399D"/>
    <w:rsid w:val="001B0BDE"/>
    <w:rsid w:val="001B0D42"/>
    <w:rsid w:val="001C08AE"/>
    <w:rsid w:val="001E007F"/>
    <w:rsid w:val="001E11B0"/>
    <w:rsid w:val="001E5BCE"/>
    <w:rsid w:val="001E623F"/>
    <w:rsid w:val="001E798E"/>
    <w:rsid w:val="00206436"/>
    <w:rsid w:val="00212422"/>
    <w:rsid w:val="00220529"/>
    <w:rsid w:val="00225B9D"/>
    <w:rsid w:val="0022631D"/>
    <w:rsid w:val="00230433"/>
    <w:rsid w:val="00232AC4"/>
    <w:rsid w:val="00240240"/>
    <w:rsid w:val="00244D50"/>
    <w:rsid w:val="002509AC"/>
    <w:rsid w:val="002558ED"/>
    <w:rsid w:val="002644D8"/>
    <w:rsid w:val="00292329"/>
    <w:rsid w:val="00296A18"/>
    <w:rsid w:val="002A4158"/>
    <w:rsid w:val="002A7A51"/>
    <w:rsid w:val="002B3AA2"/>
    <w:rsid w:val="002B7887"/>
    <w:rsid w:val="002B7EDE"/>
    <w:rsid w:val="002C7307"/>
    <w:rsid w:val="002C7E77"/>
    <w:rsid w:val="002D4F93"/>
    <w:rsid w:val="002E3F63"/>
    <w:rsid w:val="002E431A"/>
    <w:rsid w:val="002F414B"/>
    <w:rsid w:val="00300D90"/>
    <w:rsid w:val="00313BE0"/>
    <w:rsid w:val="00317271"/>
    <w:rsid w:val="0032032F"/>
    <w:rsid w:val="00323CAB"/>
    <w:rsid w:val="0032568C"/>
    <w:rsid w:val="0033100D"/>
    <w:rsid w:val="003314D9"/>
    <w:rsid w:val="00333270"/>
    <w:rsid w:val="00342E01"/>
    <w:rsid w:val="0034474C"/>
    <w:rsid w:val="00352BD5"/>
    <w:rsid w:val="00374E3A"/>
    <w:rsid w:val="003850EA"/>
    <w:rsid w:val="003859A2"/>
    <w:rsid w:val="00395F31"/>
    <w:rsid w:val="00397F09"/>
    <w:rsid w:val="003B4337"/>
    <w:rsid w:val="003B6C6B"/>
    <w:rsid w:val="003C372E"/>
    <w:rsid w:val="003C5E04"/>
    <w:rsid w:val="003C7C3F"/>
    <w:rsid w:val="003D0718"/>
    <w:rsid w:val="003D6157"/>
    <w:rsid w:val="003E66E5"/>
    <w:rsid w:val="00400ACB"/>
    <w:rsid w:val="00404E40"/>
    <w:rsid w:val="004079CA"/>
    <w:rsid w:val="0041490A"/>
    <w:rsid w:val="00416A10"/>
    <w:rsid w:val="00416B4B"/>
    <w:rsid w:val="00430059"/>
    <w:rsid w:val="00431909"/>
    <w:rsid w:val="00435E9B"/>
    <w:rsid w:val="00443D24"/>
    <w:rsid w:val="00463BFE"/>
    <w:rsid w:val="00463D60"/>
    <w:rsid w:val="004671FA"/>
    <w:rsid w:val="0047060E"/>
    <w:rsid w:val="004712B3"/>
    <w:rsid w:val="00472305"/>
    <w:rsid w:val="00474A9D"/>
    <w:rsid w:val="00487349"/>
    <w:rsid w:val="0049028B"/>
    <w:rsid w:val="0049568D"/>
    <w:rsid w:val="004A068A"/>
    <w:rsid w:val="004A28C3"/>
    <w:rsid w:val="004A76E1"/>
    <w:rsid w:val="004C0509"/>
    <w:rsid w:val="004D5696"/>
    <w:rsid w:val="004D639C"/>
    <w:rsid w:val="004D6B60"/>
    <w:rsid w:val="004E03A8"/>
    <w:rsid w:val="004E11D2"/>
    <w:rsid w:val="004E4074"/>
    <w:rsid w:val="004F3A0C"/>
    <w:rsid w:val="004F7FE7"/>
    <w:rsid w:val="00505874"/>
    <w:rsid w:val="005176F7"/>
    <w:rsid w:val="00517B51"/>
    <w:rsid w:val="00532662"/>
    <w:rsid w:val="00532D6F"/>
    <w:rsid w:val="00544190"/>
    <w:rsid w:val="00547725"/>
    <w:rsid w:val="00552788"/>
    <w:rsid w:val="00552B14"/>
    <w:rsid w:val="00554093"/>
    <w:rsid w:val="005546D8"/>
    <w:rsid w:val="0055558F"/>
    <w:rsid w:val="00555BB0"/>
    <w:rsid w:val="00562A89"/>
    <w:rsid w:val="005653D9"/>
    <w:rsid w:val="005658A0"/>
    <w:rsid w:val="005707B8"/>
    <w:rsid w:val="0057408D"/>
    <w:rsid w:val="00575B03"/>
    <w:rsid w:val="00577B0E"/>
    <w:rsid w:val="005802B0"/>
    <w:rsid w:val="00581B67"/>
    <w:rsid w:val="00585551"/>
    <w:rsid w:val="005900E2"/>
    <w:rsid w:val="00590C8E"/>
    <w:rsid w:val="00594292"/>
    <w:rsid w:val="005B1F78"/>
    <w:rsid w:val="005B3153"/>
    <w:rsid w:val="005B3865"/>
    <w:rsid w:val="005C1414"/>
    <w:rsid w:val="005C69C5"/>
    <w:rsid w:val="005E0261"/>
    <w:rsid w:val="005E1889"/>
    <w:rsid w:val="005F21B7"/>
    <w:rsid w:val="005F474C"/>
    <w:rsid w:val="00600E57"/>
    <w:rsid w:val="00602FB7"/>
    <w:rsid w:val="0060511B"/>
    <w:rsid w:val="00605878"/>
    <w:rsid w:val="0061122B"/>
    <w:rsid w:val="006211D1"/>
    <w:rsid w:val="00623B16"/>
    <w:rsid w:val="00623E24"/>
    <w:rsid w:val="0062705E"/>
    <w:rsid w:val="006378C2"/>
    <w:rsid w:val="00642AD2"/>
    <w:rsid w:val="00642C81"/>
    <w:rsid w:val="0065596B"/>
    <w:rsid w:val="00663F38"/>
    <w:rsid w:val="00671A47"/>
    <w:rsid w:val="00677228"/>
    <w:rsid w:val="006778F1"/>
    <w:rsid w:val="006935A6"/>
    <w:rsid w:val="00694ACA"/>
    <w:rsid w:val="006B0FBF"/>
    <w:rsid w:val="006B55F0"/>
    <w:rsid w:val="006C3D55"/>
    <w:rsid w:val="006C4057"/>
    <w:rsid w:val="006C79E5"/>
    <w:rsid w:val="006D6249"/>
    <w:rsid w:val="006D6E99"/>
    <w:rsid w:val="006E4923"/>
    <w:rsid w:val="006E6BB4"/>
    <w:rsid w:val="006E7C22"/>
    <w:rsid w:val="006F4594"/>
    <w:rsid w:val="00700564"/>
    <w:rsid w:val="00705681"/>
    <w:rsid w:val="00707580"/>
    <w:rsid w:val="007141A4"/>
    <w:rsid w:val="0071441C"/>
    <w:rsid w:val="00721255"/>
    <w:rsid w:val="00721CEE"/>
    <w:rsid w:val="00723F00"/>
    <w:rsid w:val="00725F5B"/>
    <w:rsid w:val="00741D62"/>
    <w:rsid w:val="00746A22"/>
    <w:rsid w:val="007476F7"/>
    <w:rsid w:val="0075745C"/>
    <w:rsid w:val="00763792"/>
    <w:rsid w:val="00765397"/>
    <w:rsid w:val="0078534A"/>
    <w:rsid w:val="00785D86"/>
    <w:rsid w:val="00791A3C"/>
    <w:rsid w:val="00792F15"/>
    <w:rsid w:val="00794BBC"/>
    <w:rsid w:val="007A0F76"/>
    <w:rsid w:val="007A33B2"/>
    <w:rsid w:val="007A79EC"/>
    <w:rsid w:val="007B6755"/>
    <w:rsid w:val="007C7652"/>
    <w:rsid w:val="007D2918"/>
    <w:rsid w:val="007D5319"/>
    <w:rsid w:val="007D6BBA"/>
    <w:rsid w:val="007D7317"/>
    <w:rsid w:val="007E2CEA"/>
    <w:rsid w:val="007E549E"/>
    <w:rsid w:val="007F00B3"/>
    <w:rsid w:val="007F13A0"/>
    <w:rsid w:val="007F2D13"/>
    <w:rsid w:val="007F3B2C"/>
    <w:rsid w:val="007F6E81"/>
    <w:rsid w:val="0080150A"/>
    <w:rsid w:val="00807391"/>
    <w:rsid w:val="00807A62"/>
    <w:rsid w:val="00810062"/>
    <w:rsid w:val="00826627"/>
    <w:rsid w:val="00832547"/>
    <w:rsid w:val="0084132A"/>
    <w:rsid w:val="0084502F"/>
    <w:rsid w:val="00855165"/>
    <w:rsid w:val="008554FA"/>
    <w:rsid w:val="008662D1"/>
    <w:rsid w:val="0087617F"/>
    <w:rsid w:val="00885B57"/>
    <w:rsid w:val="00892DA7"/>
    <w:rsid w:val="00893977"/>
    <w:rsid w:val="008A12A2"/>
    <w:rsid w:val="008B47B6"/>
    <w:rsid w:val="008C6678"/>
    <w:rsid w:val="008D1BE4"/>
    <w:rsid w:val="008D5B14"/>
    <w:rsid w:val="008F1F9B"/>
    <w:rsid w:val="0090227F"/>
    <w:rsid w:val="00902C2D"/>
    <w:rsid w:val="00904BAA"/>
    <w:rsid w:val="00906069"/>
    <w:rsid w:val="00913575"/>
    <w:rsid w:val="00922677"/>
    <w:rsid w:val="0093100B"/>
    <w:rsid w:val="00932618"/>
    <w:rsid w:val="00935885"/>
    <w:rsid w:val="00946546"/>
    <w:rsid w:val="009469DE"/>
    <w:rsid w:val="0094717F"/>
    <w:rsid w:val="00951B97"/>
    <w:rsid w:val="009646B0"/>
    <w:rsid w:val="00973801"/>
    <w:rsid w:val="00974D0D"/>
    <w:rsid w:val="009803E0"/>
    <w:rsid w:val="009810FE"/>
    <w:rsid w:val="00982F85"/>
    <w:rsid w:val="00984147"/>
    <w:rsid w:val="00985B65"/>
    <w:rsid w:val="00995359"/>
    <w:rsid w:val="009B6F83"/>
    <w:rsid w:val="009B787E"/>
    <w:rsid w:val="009C2173"/>
    <w:rsid w:val="009C6379"/>
    <w:rsid w:val="009D1614"/>
    <w:rsid w:val="009D1E54"/>
    <w:rsid w:val="009D4886"/>
    <w:rsid w:val="009D598D"/>
    <w:rsid w:val="009F1CB9"/>
    <w:rsid w:val="009F1F81"/>
    <w:rsid w:val="00A001D8"/>
    <w:rsid w:val="00A033BD"/>
    <w:rsid w:val="00A04745"/>
    <w:rsid w:val="00A05991"/>
    <w:rsid w:val="00A07E9F"/>
    <w:rsid w:val="00A14DCE"/>
    <w:rsid w:val="00A30EFB"/>
    <w:rsid w:val="00A52E17"/>
    <w:rsid w:val="00A53194"/>
    <w:rsid w:val="00A61AF7"/>
    <w:rsid w:val="00A61E49"/>
    <w:rsid w:val="00A7501C"/>
    <w:rsid w:val="00A760C2"/>
    <w:rsid w:val="00A841E8"/>
    <w:rsid w:val="00AB5514"/>
    <w:rsid w:val="00AD00EF"/>
    <w:rsid w:val="00AD62C3"/>
    <w:rsid w:val="00AD68C4"/>
    <w:rsid w:val="00AD7BD4"/>
    <w:rsid w:val="00AE783B"/>
    <w:rsid w:val="00AF088E"/>
    <w:rsid w:val="00AF662C"/>
    <w:rsid w:val="00AF6EC4"/>
    <w:rsid w:val="00B01985"/>
    <w:rsid w:val="00B02759"/>
    <w:rsid w:val="00B10FDA"/>
    <w:rsid w:val="00B157F7"/>
    <w:rsid w:val="00B22B04"/>
    <w:rsid w:val="00B301E2"/>
    <w:rsid w:val="00B30CEC"/>
    <w:rsid w:val="00B30FE5"/>
    <w:rsid w:val="00B35F90"/>
    <w:rsid w:val="00B44373"/>
    <w:rsid w:val="00B453CB"/>
    <w:rsid w:val="00B507A1"/>
    <w:rsid w:val="00B52C3A"/>
    <w:rsid w:val="00B57030"/>
    <w:rsid w:val="00B61979"/>
    <w:rsid w:val="00B61B83"/>
    <w:rsid w:val="00B61E97"/>
    <w:rsid w:val="00B73DD4"/>
    <w:rsid w:val="00B76776"/>
    <w:rsid w:val="00B9539C"/>
    <w:rsid w:val="00B9692A"/>
    <w:rsid w:val="00B96E01"/>
    <w:rsid w:val="00B973D7"/>
    <w:rsid w:val="00BA7C60"/>
    <w:rsid w:val="00BB2614"/>
    <w:rsid w:val="00BB4FCD"/>
    <w:rsid w:val="00BB757B"/>
    <w:rsid w:val="00BC6D61"/>
    <w:rsid w:val="00BC72E2"/>
    <w:rsid w:val="00BD3424"/>
    <w:rsid w:val="00BD363B"/>
    <w:rsid w:val="00BD703D"/>
    <w:rsid w:val="00BE19A7"/>
    <w:rsid w:val="00BF5049"/>
    <w:rsid w:val="00BF7301"/>
    <w:rsid w:val="00C01632"/>
    <w:rsid w:val="00C04B85"/>
    <w:rsid w:val="00C04F20"/>
    <w:rsid w:val="00C11F2B"/>
    <w:rsid w:val="00C1552C"/>
    <w:rsid w:val="00C15D50"/>
    <w:rsid w:val="00C22EE4"/>
    <w:rsid w:val="00C24CC4"/>
    <w:rsid w:val="00C25AA5"/>
    <w:rsid w:val="00C323E2"/>
    <w:rsid w:val="00C42035"/>
    <w:rsid w:val="00C54330"/>
    <w:rsid w:val="00C60464"/>
    <w:rsid w:val="00C65F01"/>
    <w:rsid w:val="00C710C4"/>
    <w:rsid w:val="00C80EFD"/>
    <w:rsid w:val="00C81E2D"/>
    <w:rsid w:val="00C92B4B"/>
    <w:rsid w:val="00C92F21"/>
    <w:rsid w:val="00C940A7"/>
    <w:rsid w:val="00C9495F"/>
    <w:rsid w:val="00C955FE"/>
    <w:rsid w:val="00CC056C"/>
    <w:rsid w:val="00CC2C16"/>
    <w:rsid w:val="00CC60E6"/>
    <w:rsid w:val="00CC697A"/>
    <w:rsid w:val="00CD36A0"/>
    <w:rsid w:val="00CD3CD3"/>
    <w:rsid w:val="00CE622C"/>
    <w:rsid w:val="00CF168C"/>
    <w:rsid w:val="00CF204F"/>
    <w:rsid w:val="00CF5283"/>
    <w:rsid w:val="00D023E6"/>
    <w:rsid w:val="00D064AC"/>
    <w:rsid w:val="00D16198"/>
    <w:rsid w:val="00D222C1"/>
    <w:rsid w:val="00D27D61"/>
    <w:rsid w:val="00D359A6"/>
    <w:rsid w:val="00D42F83"/>
    <w:rsid w:val="00D476CE"/>
    <w:rsid w:val="00D56D3B"/>
    <w:rsid w:val="00D60723"/>
    <w:rsid w:val="00D61131"/>
    <w:rsid w:val="00D61D53"/>
    <w:rsid w:val="00D625E8"/>
    <w:rsid w:val="00D72249"/>
    <w:rsid w:val="00D73948"/>
    <w:rsid w:val="00D765B8"/>
    <w:rsid w:val="00D81A08"/>
    <w:rsid w:val="00D9191C"/>
    <w:rsid w:val="00D921A8"/>
    <w:rsid w:val="00DA4DAA"/>
    <w:rsid w:val="00DA5E99"/>
    <w:rsid w:val="00DB6184"/>
    <w:rsid w:val="00DC45B9"/>
    <w:rsid w:val="00DD6C92"/>
    <w:rsid w:val="00DE7AC9"/>
    <w:rsid w:val="00DF1988"/>
    <w:rsid w:val="00DF1B1C"/>
    <w:rsid w:val="00DF4AC0"/>
    <w:rsid w:val="00E01CAD"/>
    <w:rsid w:val="00E02614"/>
    <w:rsid w:val="00E02C37"/>
    <w:rsid w:val="00E10833"/>
    <w:rsid w:val="00E20CF2"/>
    <w:rsid w:val="00E210D9"/>
    <w:rsid w:val="00E22BF0"/>
    <w:rsid w:val="00E30126"/>
    <w:rsid w:val="00E310BA"/>
    <w:rsid w:val="00E55B7B"/>
    <w:rsid w:val="00E573EA"/>
    <w:rsid w:val="00E60EE3"/>
    <w:rsid w:val="00E74F6F"/>
    <w:rsid w:val="00E82D1C"/>
    <w:rsid w:val="00E95152"/>
    <w:rsid w:val="00EA1557"/>
    <w:rsid w:val="00EA2A3E"/>
    <w:rsid w:val="00EA2D92"/>
    <w:rsid w:val="00EA56E9"/>
    <w:rsid w:val="00EB0395"/>
    <w:rsid w:val="00ED44D0"/>
    <w:rsid w:val="00EE539C"/>
    <w:rsid w:val="00EF399A"/>
    <w:rsid w:val="00EF612D"/>
    <w:rsid w:val="00F038E1"/>
    <w:rsid w:val="00F05DD4"/>
    <w:rsid w:val="00F05EDF"/>
    <w:rsid w:val="00F131A1"/>
    <w:rsid w:val="00F17FDC"/>
    <w:rsid w:val="00F22C4F"/>
    <w:rsid w:val="00F31120"/>
    <w:rsid w:val="00F328FF"/>
    <w:rsid w:val="00F4032E"/>
    <w:rsid w:val="00F41B43"/>
    <w:rsid w:val="00F41CC1"/>
    <w:rsid w:val="00F43A78"/>
    <w:rsid w:val="00F52654"/>
    <w:rsid w:val="00F55C87"/>
    <w:rsid w:val="00F5641A"/>
    <w:rsid w:val="00F63271"/>
    <w:rsid w:val="00F635FF"/>
    <w:rsid w:val="00F64E0E"/>
    <w:rsid w:val="00F66383"/>
    <w:rsid w:val="00F70A73"/>
    <w:rsid w:val="00F725CE"/>
    <w:rsid w:val="00F7381A"/>
    <w:rsid w:val="00F83E71"/>
    <w:rsid w:val="00F86B68"/>
    <w:rsid w:val="00F874CF"/>
    <w:rsid w:val="00F90059"/>
    <w:rsid w:val="00F97497"/>
    <w:rsid w:val="00FB198E"/>
    <w:rsid w:val="00FB6F09"/>
    <w:rsid w:val="00FC2491"/>
    <w:rsid w:val="00FC6603"/>
    <w:rsid w:val="00FD1C5F"/>
    <w:rsid w:val="00FD20CE"/>
    <w:rsid w:val="00FD3227"/>
    <w:rsid w:val="00FD6329"/>
    <w:rsid w:val="00FD63D3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8FD29B-0CB8-4B35-A7C0-2B5CD13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94"/>
    <w:rPr>
      <w:sz w:val="24"/>
    </w:rPr>
  </w:style>
  <w:style w:type="paragraph" w:styleId="Ttulo1">
    <w:name w:val="heading 1"/>
    <w:basedOn w:val="Normal"/>
    <w:next w:val="Normal"/>
    <w:qFormat/>
    <w:rsid w:val="006F45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6F459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6F4594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F4594"/>
    <w:pPr>
      <w:keepNext/>
      <w:jc w:val="right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6F4594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6F4594"/>
    <w:pPr>
      <w:keepNext/>
      <w:outlineLvl w:val="5"/>
    </w:pPr>
    <w:rPr>
      <w:rFonts w:ascii="Arial" w:hAnsi="Arial"/>
      <w:sz w:val="28"/>
    </w:rPr>
  </w:style>
  <w:style w:type="paragraph" w:styleId="Ttulo7">
    <w:name w:val="heading 7"/>
    <w:basedOn w:val="Normal"/>
    <w:next w:val="Normal"/>
    <w:link w:val="Ttulo7Char"/>
    <w:qFormat/>
    <w:rsid w:val="006F4594"/>
    <w:pPr>
      <w:keepNext/>
      <w:jc w:val="center"/>
      <w:outlineLvl w:val="6"/>
    </w:pPr>
    <w:rPr>
      <w:rFonts w:ascii="Batang" w:eastAsia="Batang" w:hAnsi="Batang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594"/>
    <w:pPr>
      <w:jc w:val="both"/>
    </w:pPr>
    <w:rPr>
      <w:sz w:val="30"/>
    </w:rPr>
  </w:style>
  <w:style w:type="paragraph" w:styleId="Recuodecorpodetexto">
    <w:name w:val="Body Text Indent"/>
    <w:basedOn w:val="Normal"/>
    <w:rsid w:val="006F4594"/>
    <w:pPr>
      <w:ind w:firstLine="720"/>
      <w:jc w:val="both"/>
    </w:pPr>
    <w:rPr>
      <w:rFonts w:ascii="Bookman Old Style" w:eastAsia="Batang" w:hAnsi="Bookman Old Style"/>
      <w:sz w:val="28"/>
    </w:rPr>
  </w:style>
  <w:style w:type="paragraph" w:styleId="Cabealho">
    <w:name w:val="header"/>
    <w:basedOn w:val="Normal"/>
    <w:rsid w:val="006F459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F459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92B4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B44373"/>
    <w:pPr>
      <w:spacing w:after="120" w:line="480" w:lineRule="auto"/>
      <w:ind w:left="283"/>
    </w:pPr>
  </w:style>
  <w:style w:type="character" w:customStyle="1" w:styleId="Ttulo6Char">
    <w:name w:val="Título 6 Char"/>
    <w:basedOn w:val="Fontepargpadro"/>
    <w:link w:val="Ttulo6"/>
    <w:rsid w:val="00F874CF"/>
    <w:rPr>
      <w:rFonts w:ascii="Arial" w:hAnsi="Arial"/>
      <w:sz w:val="28"/>
    </w:rPr>
  </w:style>
  <w:style w:type="character" w:customStyle="1" w:styleId="Ttulo7Char">
    <w:name w:val="Título 7 Char"/>
    <w:basedOn w:val="Fontepargpadro"/>
    <w:link w:val="Ttulo7"/>
    <w:rsid w:val="00F874CF"/>
    <w:rPr>
      <w:rFonts w:ascii="Batang" w:eastAsia="Batang" w:hAnsi="Batang"/>
      <w:sz w:val="28"/>
    </w:rPr>
  </w:style>
  <w:style w:type="character" w:styleId="Forte">
    <w:name w:val="Strong"/>
    <w:basedOn w:val="Fontepargpadro"/>
    <w:qFormat/>
    <w:rsid w:val="006778F1"/>
    <w:rPr>
      <w:b/>
      <w:bCs/>
    </w:rPr>
  </w:style>
  <w:style w:type="paragraph" w:styleId="PargrafodaLista">
    <w:name w:val="List Paragraph"/>
    <w:basedOn w:val="Normal"/>
    <w:uiPriority w:val="34"/>
    <w:qFormat/>
    <w:rsid w:val="00C42035"/>
    <w:pPr>
      <w:ind w:left="720"/>
      <w:contextualSpacing/>
    </w:pPr>
  </w:style>
  <w:style w:type="table" w:styleId="Tabelacomgrade">
    <w:name w:val="Table Grid"/>
    <w:basedOn w:val="Tabelanormal"/>
    <w:rsid w:val="0064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TtuloRQ-CLG">
    <w:name w:val="02 - Título RQ - CLG"/>
    <w:rsid w:val="004D639C"/>
    <w:pPr>
      <w:spacing w:after="1440"/>
      <w:jc w:val="center"/>
    </w:pPr>
    <w:rPr>
      <w:b/>
      <w:bCs/>
      <w:sz w:val="32"/>
    </w:rPr>
  </w:style>
  <w:style w:type="paragraph" w:customStyle="1" w:styleId="05-Local-RQ-CLG">
    <w:name w:val="05 - Local - RQ - CLG"/>
    <w:rsid w:val="004D639C"/>
    <w:pPr>
      <w:spacing w:before="720" w:after="480"/>
      <w:ind w:left="2268"/>
    </w:pPr>
    <w:rPr>
      <w:sz w:val="28"/>
    </w:rPr>
  </w:style>
  <w:style w:type="paragraph" w:customStyle="1" w:styleId="06-IdentificaoParlamentar-RQ-CLG">
    <w:name w:val="06 - Identificação Parlamentar - RQ - CLG"/>
    <w:rsid w:val="004D639C"/>
    <w:pPr>
      <w:ind w:left="3402"/>
    </w:pPr>
    <w:rPr>
      <w:sz w:val="28"/>
      <w:szCs w:val="28"/>
    </w:rPr>
  </w:style>
  <w:style w:type="paragraph" w:customStyle="1" w:styleId="04-PargrafodetextoEstudoNotas-CLG">
    <w:name w:val="04 - Parágrafo de texto Estudo Notas - CLG"/>
    <w:link w:val="04-PargrafodetextoEstudoNotas-CLGChar"/>
    <w:rsid w:val="004D639C"/>
    <w:pPr>
      <w:spacing w:after="360" w:line="360" w:lineRule="auto"/>
      <w:ind w:firstLine="1418"/>
      <w:jc w:val="both"/>
    </w:pPr>
    <w:rPr>
      <w:sz w:val="28"/>
      <w:szCs w:val="22"/>
    </w:rPr>
  </w:style>
  <w:style w:type="character" w:customStyle="1" w:styleId="04-PargrafodetextoEstudoNotas-CLGChar">
    <w:name w:val="04 - Parágrafo de texto Estudo Notas - CLG Char"/>
    <w:link w:val="04-PargrafodetextoEstudoNotas-CLG"/>
    <w:rsid w:val="004D639C"/>
    <w:rPr>
      <w:sz w:val="28"/>
      <w:szCs w:val="22"/>
    </w:rPr>
  </w:style>
  <w:style w:type="paragraph" w:styleId="SemEspaamento">
    <w:name w:val="No Spacing"/>
    <w:uiPriority w:val="1"/>
    <w:qFormat/>
    <w:rsid w:val="0019723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WW8Num2z2">
    <w:name w:val="WW8Num2z2"/>
    <w:rsid w:val="0019723D"/>
  </w:style>
  <w:style w:type="paragraph" w:customStyle="1" w:styleId="02-TtuloPrincipal-CLG">
    <w:name w:val="02 - Título Principal - CLG"/>
    <w:link w:val="02-TtuloPrincipal-CLGChar"/>
    <w:rsid w:val="00374E3A"/>
    <w:pPr>
      <w:spacing w:after="960"/>
      <w:jc w:val="center"/>
    </w:pPr>
    <w:rPr>
      <w:b/>
      <w:bCs/>
      <w:sz w:val="32"/>
    </w:rPr>
  </w:style>
  <w:style w:type="paragraph" w:customStyle="1" w:styleId="03-Ementa-CLG">
    <w:name w:val="03 - Ementa - CLG"/>
    <w:link w:val="03-Ementa-CLGChar"/>
    <w:rsid w:val="00374E3A"/>
    <w:pPr>
      <w:spacing w:after="1440"/>
      <w:ind w:left="3686"/>
      <w:jc w:val="both"/>
    </w:pPr>
    <w:rPr>
      <w:sz w:val="24"/>
    </w:rPr>
  </w:style>
  <w:style w:type="paragraph" w:customStyle="1" w:styleId="06-Justificao-CLG">
    <w:name w:val="06 - Justificação - CLG"/>
    <w:link w:val="06-Justificao-CLGChar"/>
    <w:rsid w:val="00374E3A"/>
    <w:pPr>
      <w:spacing w:before="600" w:after="480"/>
      <w:jc w:val="center"/>
    </w:pPr>
    <w:rPr>
      <w:b/>
      <w:bCs/>
      <w:sz w:val="28"/>
    </w:rPr>
  </w:style>
  <w:style w:type="paragraph" w:customStyle="1" w:styleId="05-Pargrafodetexto-CLG">
    <w:name w:val="05 - Parágrafo de texto - CLG"/>
    <w:link w:val="05-Pargrafodetexto-CLGChar"/>
    <w:rsid w:val="00374E3A"/>
    <w:pPr>
      <w:spacing w:after="360"/>
      <w:ind w:firstLine="1418"/>
      <w:jc w:val="both"/>
    </w:pPr>
    <w:rPr>
      <w:sz w:val="28"/>
    </w:rPr>
  </w:style>
  <w:style w:type="paragraph" w:customStyle="1" w:styleId="09-Local-CLG">
    <w:name w:val="09 - Local - CLG"/>
    <w:link w:val="09-Local-CLGChar"/>
    <w:rsid w:val="00374E3A"/>
    <w:pPr>
      <w:spacing w:before="960" w:after="720"/>
      <w:ind w:firstLine="2520"/>
      <w:jc w:val="both"/>
    </w:pPr>
    <w:rPr>
      <w:sz w:val="28"/>
    </w:rPr>
  </w:style>
  <w:style w:type="paragraph" w:customStyle="1" w:styleId="10-IdentificaoParlamentar-CLG">
    <w:name w:val="10 - Identificação Parlamentar - CLG"/>
    <w:link w:val="10-IdentificaoParlamentar-CLGChar"/>
    <w:rsid w:val="00374E3A"/>
    <w:pPr>
      <w:spacing w:line="360" w:lineRule="auto"/>
      <w:ind w:left="3402"/>
    </w:pPr>
    <w:rPr>
      <w:color w:val="000000"/>
      <w:sz w:val="28"/>
      <w:szCs w:val="9"/>
    </w:rPr>
  </w:style>
  <w:style w:type="character" w:customStyle="1" w:styleId="02-TtuloPrincipal-CLGChar">
    <w:name w:val="02 - Título Principal - CLG Char"/>
    <w:link w:val="02-TtuloPrincipal-CLG"/>
    <w:rsid w:val="00374E3A"/>
    <w:rPr>
      <w:b/>
      <w:bCs/>
      <w:sz w:val="32"/>
    </w:rPr>
  </w:style>
  <w:style w:type="character" w:customStyle="1" w:styleId="03-Ementa-CLGChar">
    <w:name w:val="03 - Ementa - CLG Char"/>
    <w:link w:val="03-Ementa-CLG"/>
    <w:rsid w:val="00374E3A"/>
    <w:rPr>
      <w:sz w:val="24"/>
    </w:rPr>
  </w:style>
  <w:style w:type="character" w:customStyle="1" w:styleId="05-Pargrafodetexto-CLGChar">
    <w:name w:val="05 - Parágrafo de texto - CLG Char"/>
    <w:link w:val="05-Pargrafodetexto-CLG"/>
    <w:rsid w:val="00374E3A"/>
    <w:rPr>
      <w:sz w:val="28"/>
    </w:rPr>
  </w:style>
  <w:style w:type="character" w:customStyle="1" w:styleId="06-Justificao-CLGChar">
    <w:name w:val="06 - Justificação - CLG Char"/>
    <w:link w:val="06-Justificao-CLG"/>
    <w:rsid w:val="00374E3A"/>
    <w:rPr>
      <w:b/>
      <w:bCs/>
      <w:sz w:val="28"/>
    </w:rPr>
  </w:style>
  <w:style w:type="character" w:customStyle="1" w:styleId="09-Local-CLGChar">
    <w:name w:val="09 - Local - CLG Char"/>
    <w:link w:val="09-Local-CLG"/>
    <w:rsid w:val="00374E3A"/>
    <w:rPr>
      <w:sz w:val="28"/>
    </w:rPr>
  </w:style>
  <w:style w:type="character" w:customStyle="1" w:styleId="10-IdentificaoParlamentar-CLGChar">
    <w:name w:val="10 - Identificação Parlamentar - CLG Char"/>
    <w:link w:val="10-IdentificaoParlamentar-CLG"/>
    <w:rsid w:val="00374E3A"/>
    <w:rPr>
      <w:color w:val="000000"/>
      <w:sz w:val="28"/>
      <w:szCs w:val="9"/>
    </w:rPr>
  </w:style>
  <w:style w:type="paragraph" w:customStyle="1" w:styleId="Default">
    <w:name w:val="Default"/>
    <w:rsid w:val="002263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7D2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7D2C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097D2C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4671F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671FA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C04F20"/>
  </w:style>
  <w:style w:type="paragraph" w:customStyle="1" w:styleId="07-Citaolegal-CLG">
    <w:name w:val="07 - Citação legal - CLG"/>
    <w:rsid w:val="008B47B6"/>
    <w:pPr>
      <w:spacing w:after="120"/>
      <w:ind w:left="1985" w:firstLine="567"/>
      <w:jc w:val="both"/>
    </w:pPr>
    <w:rPr>
      <w:bCs/>
      <w:sz w:val="24"/>
    </w:rPr>
  </w:style>
  <w:style w:type="paragraph" w:customStyle="1" w:styleId="Paragrafo">
    <w:name w:val="Paragrafo"/>
    <w:basedOn w:val="Normal"/>
    <w:qFormat/>
    <w:rsid w:val="00317271"/>
    <w:pPr>
      <w:tabs>
        <w:tab w:val="left" w:pos="1418"/>
        <w:tab w:val="left" w:pos="1701"/>
        <w:tab w:val="right" w:pos="7372"/>
      </w:tabs>
      <w:suppressAutoHyphens/>
      <w:spacing w:before="360" w:after="360"/>
      <w:ind w:firstLine="1418"/>
      <w:jc w:val="both"/>
    </w:pPr>
    <w:rPr>
      <w:sz w:val="28"/>
    </w:rPr>
  </w:style>
  <w:style w:type="paragraph" w:customStyle="1" w:styleId="10-Local-CLG">
    <w:name w:val="10 - Local - CLG"/>
    <w:link w:val="10-Local-CLGChar"/>
    <w:rsid w:val="00317271"/>
    <w:pPr>
      <w:spacing w:before="960" w:after="720"/>
      <w:ind w:firstLine="2520"/>
      <w:jc w:val="both"/>
    </w:pPr>
    <w:rPr>
      <w:sz w:val="28"/>
    </w:rPr>
  </w:style>
  <w:style w:type="paragraph" w:customStyle="1" w:styleId="11-Assinaturas-CLG">
    <w:name w:val="11 - Assinaturas - CLG"/>
    <w:link w:val="11-Assinaturas-CLGChar"/>
    <w:rsid w:val="00317271"/>
    <w:pPr>
      <w:spacing w:after="960"/>
      <w:ind w:left="6240"/>
      <w:jc w:val="both"/>
    </w:pPr>
    <w:rPr>
      <w:sz w:val="28"/>
    </w:rPr>
  </w:style>
  <w:style w:type="character" w:customStyle="1" w:styleId="10-Local-CLGChar">
    <w:name w:val="10 - Local - CLG Char"/>
    <w:basedOn w:val="Fontepargpadro"/>
    <w:link w:val="10-Local-CLG"/>
    <w:rsid w:val="00317271"/>
    <w:rPr>
      <w:sz w:val="28"/>
    </w:rPr>
  </w:style>
  <w:style w:type="character" w:customStyle="1" w:styleId="11-Assinaturas-CLGChar">
    <w:name w:val="11 - Assinaturas - CLG Char"/>
    <w:basedOn w:val="Fontepargpadro"/>
    <w:link w:val="11-Assinaturas-CLG"/>
    <w:rsid w:val="00317271"/>
    <w:rPr>
      <w:sz w:val="28"/>
    </w:rPr>
  </w:style>
  <w:style w:type="paragraph" w:customStyle="1" w:styleId="05-Subttulo-CLG">
    <w:name w:val="05 - Subtítulo - CLG"/>
    <w:link w:val="05-Subttulo-CLGChar"/>
    <w:rsid w:val="00317271"/>
    <w:pPr>
      <w:keepNext/>
      <w:spacing w:after="480"/>
      <w:jc w:val="both"/>
    </w:pPr>
    <w:rPr>
      <w:b/>
      <w:bCs/>
      <w:sz w:val="28"/>
    </w:rPr>
  </w:style>
  <w:style w:type="character" w:customStyle="1" w:styleId="05-Subttulo-CLGChar">
    <w:name w:val="05 - Subtítulo - CLG Char"/>
    <w:basedOn w:val="Fontepargpadro"/>
    <w:link w:val="05-Subttulo-CLG"/>
    <w:rsid w:val="00317271"/>
    <w:rPr>
      <w:b/>
      <w:bCs/>
      <w:sz w:val="28"/>
    </w:rPr>
  </w:style>
  <w:style w:type="character" w:customStyle="1" w:styleId="03-Ementa-CLGCharChar">
    <w:name w:val="03 - Ementa - CLG Char Char"/>
    <w:basedOn w:val="Fontepargpadro"/>
    <w:rsid w:val="0049028B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04-Relatoria-CLG">
    <w:name w:val="04 - Relatoria - CLG"/>
    <w:link w:val="04-Relatoria-CLGChar"/>
    <w:rsid w:val="0049028B"/>
    <w:pPr>
      <w:spacing w:after="960"/>
      <w:ind w:left="1440"/>
    </w:pPr>
    <w:rPr>
      <w:sz w:val="28"/>
    </w:rPr>
  </w:style>
  <w:style w:type="paragraph" w:customStyle="1" w:styleId="06-Pargrafodetexto-CLG">
    <w:name w:val="06 - Parágrafo de texto - CLG"/>
    <w:link w:val="06-Pargrafodetexto-CLGChar"/>
    <w:rsid w:val="0049028B"/>
    <w:pPr>
      <w:spacing w:after="360"/>
      <w:ind w:firstLine="1418"/>
      <w:jc w:val="both"/>
    </w:pPr>
    <w:rPr>
      <w:sz w:val="28"/>
    </w:rPr>
  </w:style>
  <w:style w:type="character" w:customStyle="1" w:styleId="04-Relatoria-CLGChar">
    <w:name w:val="04 - Relatoria - CLG Char"/>
    <w:basedOn w:val="Fontepargpadro"/>
    <w:link w:val="04-Relatoria-CLG"/>
    <w:rsid w:val="0049028B"/>
    <w:rPr>
      <w:sz w:val="28"/>
    </w:rPr>
  </w:style>
  <w:style w:type="character" w:customStyle="1" w:styleId="06-Pargrafodetexto-CLGChar">
    <w:name w:val="06 - Parágrafo de texto - CLG Char"/>
    <w:basedOn w:val="Fontepargpadro"/>
    <w:link w:val="06-Pargrafodetexto-CLG"/>
    <w:rsid w:val="0049028B"/>
    <w:rPr>
      <w:sz w:val="28"/>
    </w:rPr>
  </w:style>
  <w:style w:type="paragraph" w:customStyle="1" w:styleId="09-Ttuloemenda-CLG">
    <w:name w:val="09 - Título emenda - CLG"/>
    <w:link w:val="09-Ttuloemenda-CLGChar"/>
    <w:rsid w:val="0049028B"/>
    <w:pPr>
      <w:spacing w:before="480" w:after="360"/>
      <w:jc w:val="center"/>
    </w:pPr>
    <w:rPr>
      <w:b/>
      <w:bCs/>
      <w:spacing w:val="-4"/>
      <w:sz w:val="28"/>
    </w:rPr>
  </w:style>
  <w:style w:type="character" w:customStyle="1" w:styleId="09-Ttuloemenda-CLGChar">
    <w:name w:val="09 - Título emenda - CLG Char"/>
    <w:link w:val="09-Ttuloemenda-CLG"/>
    <w:rsid w:val="0049028B"/>
    <w:rPr>
      <w:b/>
      <w:bCs/>
      <w:spacing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966892-C1E0-4C9A-8DE3-B5E77EE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Senado Federal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Prodasen</dc:creator>
  <cp:lastModifiedBy>Lairton Pedro Kleinubing</cp:lastModifiedBy>
  <cp:revision>2</cp:revision>
  <cp:lastPrinted>2015-03-11T21:14:00Z</cp:lastPrinted>
  <dcterms:created xsi:type="dcterms:W3CDTF">2016-03-31T14:41:00Z</dcterms:created>
  <dcterms:modified xsi:type="dcterms:W3CDTF">2016-03-31T14:41:00Z</dcterms:modified>
</cp:coreProperties>
</file>